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FC" w:rsidRDefault="00991AC9">
      <w:pPr>
        <w:jc w:val="center"/>
        <w:rPr>
          <w:b/>
          <w:sz w:val="32"/>
          <w:szCs w:val="32"/>
        </w:rPr>
      </w:pPr>
      <w:bookmarkStart w:id="0" w:name="_GoBack"/>
      <w:bookmarkEnd w:id="0"/>
      <w:r>
        <w:rPr>
          <w:b/>
          <w:sz w:val="32"/>
          <w:szCs w:val="32"/>
        </w:rPr>
        <w:t>NHS School Council</w:t>
      </w:r>
    </w:p>
    <w:p w:rsidR="00C967FC" w:rsidRDefault="00991AC9">
      <w:pPr>
        <w:jc w:val="center"/>
        <w:rPr>
          <w:b/>
          <w:sz w:val="32"/>
          <w:szCs w:val="32"/>
        </w:rPr>
      </w:pPr>
      <w:r>
        <w:rPr>
          <w:b/>
          <w:sz w:val="32"/>
          <w:szCs w:val="32"/>
        </w:rPr>
        <w:t>October 10, 2023</w:t>
      </w:r>
    </w:p>
    <w:p w:rsidR="00C967FC" w:rsidRDefault="00C967FC">
      <w:pPr>
        <w:rPr>
          <w:sz w:val="24"/>
          <w:szCs w:val="24"/>
        </w:rPr>
      </w:pPr>
    </w:p>
    <w:p w:rsidR="00C967FC" w:rsidRDefault="00991AC9">
      <w:pPr>
        <w:rPr>
          <w:rFonts w:ascii="Calibri" w:eastAsia="Calibri" w:hAnsi="Calibri" w:cs="Calibri"/>
          <w:sz w:val="24"/>
          <w:szCs w:val="24"/>
        </w:rPr>
      </w:pPr>
      <w:r>
        <w:rPr>
          <w:rFonts w:ascii="Calibri" w:eastAsia="Calibri" w:hAnsi="Calibri" w:cs="Calibri"/>
          <w:b/>
          <w:sz w:val="24"/>
          <w:szCs w:val="24"/>
        </w:rPr>
        <w:t>Attendance:</w:t>
      </w:r>
      <w:r>
        <w:rPr>
          <w:rFonts w:ascii="Calibri" w:eastAsia="Calibri" w:hAnsi="Calibri" w:cs="Calibri"/>
          <w:sz w:val="24"/>
          <w:szCs w:val="24"/>
        </w:rPr>
        <w:t xml:space="preserve">  Renee Ames, Jim </w:t>
      </w:r>
      <w:proofErr w:type="spellStart"/>
      <w:r>
        <w:rPr>
          <w:rFonts w:ascii="Calibri" w:eastAsia="Calibri" w:hAnsi="Calibri" w:cs="Calibri"/>
          <w:sz w:val="24"/>
          <w:szCs w:val="24"/>
        </w:rPr>
        <w:t>Antonelli</w:t>
      </w:r>
      <w:proofErr w:type="spellEnd"/>
      <w:r>
        <w:rPr>
          <w:rFonts w:ascii="Calibri" w:eastAsia="Calibri" w:hAnsi="Calibri" w:cs="Calibri"/>
          <w:sz w:val="24"/>
          <w:szCs w:val="24"/>
        </w:rPr>
        <w:t xml:space="preserve">, Amber </w:t>
      </w:r>
      <w:proofErr w:type="spellStart"/>
      <w:r>
        <w:rPr>
          <w:rFonts w:ascii="Calibri" w:eastAsia="Calibri" w:hAnsi="Calibri" w:cs="Calibri"/>
          <w:sz w:val="24"/>
          <w:szCs w:val="24"/>
        </w:rPr>
        <w:t>Barbere</w:t>
      </w:r>
      <w:proofErr w:type="spellEnd"/>
      <w:r>
        <w:rPr>
          <w:rFonts w:ascii="Calibri" w:eastAsia="Calibri" w:hAnsi="Calibri" w:cs="Calibri"/>
          <w:sz w:val="24"/>
          <w:szCs w:val="24"/>
        </w:rPr>
        <w:t xml:space="preserve">, Jessica Buchman, David Clay, Chris Cain, Stacey </w:t>
      </w:r>
      <w:proofErr w:type="spellStart"/>
      <w:r>
        <w:rPr>
          <w:rFonts w:ascii="Calibri" w:eastAsia="Calibri" w:hAnsi="Calibri" w:cs="Calibri"/>
          <w:sz w:val="24"/>
          <w:szCs w:val="24"/>
        </w:rPr>
        <w:t>Gijsbers</w:t>
      </w:r>
      <w:proofErr w:type="spellEnd"/>
      <w:r>
        <w:rPr>
          <w:rFonts w:ascii="Calibri" w:eastAsia="Calibri" w:hAnsi="Calibri" w:cs="Calibri"/>
          <w:sz w:val="24"/>
          <w:szCs w:val="24"/>
        </w:rPr>
        <w:t xml:space="preserve">, Declan </w:t>
      </w:r>
      <w:proofErr w:type="spellStart"/>
      <w:r>
        <w:rPr>
          <w:rFonts w:ascii="Calibri" w:eastAsia="Calibri" w:hAnsi="Calibri" w:cs="Calibri"/>
          <w:sz w:val="24"/>
          <w:szCs w:val="24"/>
        </w:rPr>
        <w:t>Hochheiser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Priya</w:t>
      </w:r>
      <w:proofErr w:type="spellEnd"/>
      <w:r>
        <w:rPr>
          <w:rFonts w:ascii="Calibri" w:eastAsia="Calibri" w:hAnsi="Calibri" w:cs="Calibri"/>
          <w:sz w:val="24"/>
          <w:szCs w:val="24"/>
        </w:rPr>
        <w:t xml:space="preserve"> Kaur, Laurie Kench, Emerson Leahy, Rourke Lee, Mike </w:t>
      </w:r>
      <w:proofErr w:type="spellStart"/>
      <w:r>
        <w:rPr>
          <w:rFonts w:ascii="Calibri" w:eastAsia="Calibri" w:hAnsi="Calibri" w:cs="Calibri"/>
          <w:sz w:val="24"/>
          <w:szCs w:val="24"/>
        </w:rPr>
        <w:t>Testa</w:t>
      </w:r>
      <w:proofErr w:type="spellEnd"/>
      <w:r>
        <w:rPr>
          <w:rFonts w:ascii="Calibri" w:eastAsia="Calibri" w:hAnsi="Calibri" w:cs="Calibri"/>
          <w:sz w:val="24"/>
          <w:szCs w:val="24"/>
        </w:rPr>
        <w:t xml:space="preserve">, Andy </w:t>
      </w:r>
      <w:proofErr w:type="spellStart"/>
      <w:r>
        <w:rPr>
          <w:rFonts w:ascii="Calibri" w:eastAsia="Calibri" w:hAnsi="Calibri" w:cs="Calibri"/>
          <w:sz w:val="24"/>
          <w:szCs w:val="24"/>
        </w:rPr>
        <w:t>Wulf</w:t>
      </w:r>
      <w:proofErr w:type="spellEnd"/>
    </w:p>
    <w:p w:rsidR="00C967FC" w:rsidRDefault="00C967FC">
      <w:pPr>
        <w:rPr>
          <w:rFonts w:ascii="Calibri" w:eastAsia="Calibri" w:hAnsi="Calibri" w:cs="Calibri"/>
          <w:sz w:val="24"/>
          <w:szCs w:val="24"/>
        </w:rPr>
      </w:pPr>
    </w:p>
    <w:p w:rsidR="00C967FC" w:rsidRDefault="00991AC9">
      <w:pPr>
        <w:widowControl w:val="0"/>
        <w:spacing w:after="240"/>
        <w:rPr>
          <w:rFonts w:ascii="Calibri" w:eastAsia="Calibri" w:hAnsi="Calibri" w:cs="Calibri"/>
          <w:b/>
          <w:sz w:val="32"/>
          <w:szCs w:val="32"/>
        </w:rPr>
      </w:pPr>
      <w:r>
        <w:rPr>
          <w:rFonts w:ascii="Calibri" w:eastAsia="Calibri" w:hAnsi="Calibri" w:cs="Calibri"/>
          <w:b/>
          <w:sz w:val="32"/>
          <w:szCs w:val="32"/>
        </w:rPr>
        <w:t>Introductions: Highlight and Hope for School Year</w:t>
      </w:r>
    </w:p>
    <w:p w:rsidR="00C967FC" w:rsidRDefault="00991AC9">
      <w:pPr>
        <w:widowControl w:val="0"/>
        <w:numPr>
          <w:ilvl w:val="0"/>
          <w:numId w:val="4"/>
        </w:numPr>
        <w:rPr>
          <w:rFonts w:ascii="Calibri" w:eastAsia="Calibri" w:hAnsi="Calibri" w:cs="Calibri"/>
          <w:sz w:val="28"/>
          <w:szCs w:val="28"/>
        </w:rPr>
      </w:pPr>
      <w:r>
        <w:rPr>
          <w:rFonts w:ascii="Calibri" w:eastAsia="Calibri" w:hAnsi="Calibri" w:cs="Calibri"/>
          <w:sz w:val="28"/>
          <w:szCs w:val="28"/>
        </w:rPr>
        <w:t>Highlights from teachers present centered around the positive energy displayed by the students in the halls, classrooms, and at events.  The structure of the school schedule in regards to better balanced cl</w:t>
      </w:r>
      <w:r>
        <w:rPr>
          <w:rFonts w:ascii="Calibri" w:eastAsia="Calibri" w:hAnsi="Calibri" w:cs="Calibri"/>
          <w:sz w:val="28"/>
          <w:szCs w:val="28"/>
        </w:rPr>
        <w:t xml:space="preserve">asses.  </w:t>
      </w:r>
    </w:p>
    <w:p w:rsidR="00C967FC" w:rsidRDefault="00991AC9">
      <w:pPr>
        <w:widowControl w:val="0"/>
        <w:numPr>
          <w:ilvl w:val="0"/>
          <w:numId w:val="4"/>
        </w:numPr>
        <w:rPr>
          <w:rFonts w:ascii="Calibri" w:eastAsia="Calibri" w:hAnsi="Calibri" w:cs="Calibri"/>
          <w:sz w:val="28"/>
          <w:szCs w:val="28"/>
        </w:rPr>
      </w:pPr>
      <w:r>
        <w:rPr>
          <w:rFonts w:ascii="Calibri" w:eastAsia="Calibri" w:hAnsi="Calibri" w:cs="Calibri"/>
          <w:sz w:val="28"/>
          <w:szCs w:val="28"/>
        </w:rPr>
        <w:t xml:space="preserve">Highlights from students present centered on a safe learning environment in their classrooms and the efforts of their teachers to ensure their students have a community where they can take academic risks. </w:t>
      </w:r>
    </w:p>
    <w:p w:rsidR="00C967FC" w:rsidRDefault="00991AC9">
      <w:pPr>
        <w:widowControl w:val="0"/>
        <w:numPr>
          <w:ilvl w:val="0"/>
          <w:numId w:val="4"/>
        </w:numPr>
        <w:rPr>
          <w:rFonts w:ascii="Calibri" w:eastAsia="Calibri" w:hAnsi="Calibri" w:cs="Calibri"/>
          <w:sz w:val="28"/>
          <w:szCs w:val="28"/>
        </w:rPr>
      </w:pPr>
      <w:r>
        <w:rPr>
          <w:rFonts w:ascii="Calibri" w:eastAsia="Calibri" w:hAnsi="Calibri" w:cs="Calibri"/>
          <w:sz w:val="28"/>
          <w:szCs w:val="28"/>
        </w:rPr>
        <w:t>Highlights of parents present centered ar</w:t>
      </w:r>
      <w:r>
        <w:rPr>
          <w:rFonts w:ascii="Calibri" w:eastAsia="Calibri" w:hAnsi="Calibri" w:cs="Calibri"/>
          <w:sz w:val="28"/>
          <w:szCs w:val="28"/>
        </w:rPr>
        <w:t xml:space="preserve">ound the on-going communications, general welcoming environment especially for the incoming freshmen, and the sense of belonging in activities/teams. </w:t>
      </w:r>
    </w:p>
    <w:p w:rsidR="00C967FC" w:rsidRDefault="00991AC9">
      <w:pPr>
        <w:widowControl w:val="0"/>
        <w:numPr>
          <w:ilvl w:val="0"/>
          <w:numId w:val="4"/>
        </w:numPr>
        <w:rPr>
          <w:rFonts w:ascii="Calibri" w:eastAsia="Calibri" w:hAnsi="Calibri" w:cs="Calibri"/>
          <w:sz w:val="28"/>
          <w:szCs w:val="28"/>
        </w:rPr>
      </w:pPr>
      <w:r>
        <w:rPr>
          <w:rFonts w:ascii="Calibri" w:eastAsia="Calibri" w:hAnsi="Calibri" w:cs="Calibri"/>
          <w:sz w:val="28"/>
          <w:szCs w:val="28"/>
        </w:rPr>
        <w:t xml:space="preserve">Overall consensus on the Hope was to maintain the positive energy across the school year.  Students also </w:t>
      </w:r>
      <w:r>
        <w:rPr>
          <w:rFonts w:ascii="Calibri" w:eastAsia="Calibri" w:hAnsi="Calibri" w:cs="Calibri"/>
          <w:sz w:val="28"/>
          <w:szCs w:val="28"/>
        </w:rPr>
        <w:t xml:space="preserve">mentioned a hope to look at schedule sectioning decisions for next year as some students were not able to get into popular classes due to one section being offered. </w:t>
      </w:r>
    </w:p>
    <w:p w:rsidR="00C967FC" w:rsidRDefault="00991AC9">
      <w:pPr>
        <w:numPr>
          <w:ilvl w:val="1"/>
          <w:numId w:val="4"/>
        </w:numPr>
        <w:rPr>
          <w:rFonts w:ascii="Calibri" w:eastAsia="Calibri" w:hAnsi="Calibri" w:cs="Calibri"/>
          <w:sz w:val="24"/>
          <w:szCs w:val="24"/>
        </w:rPr>
      </w:pPr>
      <w:r>
        <w:rPr>
          <w:rFonts w:ascii="Calibri" w:eastAsia="Calibri" w:hAnsi="Calibri" w:cs="Calibri"/>
          <w:sz w:val="24"/>
          <w:szCs w:val="24"/>
        </w:rPr>
        <w:t>Some limitations to accessing AP Psych/AP Bio and some students having to take on-line cou</w:t>
      </w:r>
      <w:r>
        <w:rPr>
          <w:rFonts w:ascii="Calibri" w:eastAsia="Calibri" w:hAnsi="Calibri" w:cs="Calibri"/>
          <w:sz w:val="24"/>
          <w:szCs w:val="24"/>
        </w:rPr>
        <w:t>rses</w:t>
      </w:r>
    </w:p>
    <w:p w:rsidR="00C967FC" w:rsidRDefault="00991AC9">
      <w:pPr>
        <w:numPr>
          <w:ilvl w:val="1"/>
          <w:numId w:val="4"/>
        </w:numPr>
        <w:rPr>
          <w:rFonts w:ascii="Calibri" w:eastAsia="Calibri" w:hAnsi="Calibri" w:cs="Calibri"/>
          <w:sz w:val="24"/>
          <w:szCs w:val="24"/>
        </w:rPr>
      </w:pPr>
      <w:r>
        <w:rPr>
          <w:rFonts w:ascii="Calibri" w:eastAsia="Calibri" w:hAnsi="Calibri" w:cs="Calibri"/>
          <w:sz w:val="24"/>
          <w:szCs w:val="24"/>
        </w:rPr>
        <w:t>One student reported a positive experience with an exchange student being able to shift his assigned classes to more appropriate levels.</w:t>
      </w:r>
    </w:p>
    <w:p w:rsidR="00C967FC" w:rsidRDefault="00991AC9">
      <w:pPr>
        <w:numPr>
          <w:ilvl w:val="1"/>
          <w:numId w:val="4"/>
        </w:numPr>
        <w:rPr>
          <w:rFonts w:ascii="Calibri" w:eastAsia="Calibri" w:hAnsi="Calibri" w:cs="Calibri"/>
          <w:sz w:val="24"/>
          <w:szCs w:val="24"/>
        </w:rPr>
      </w:pPr>
      <w:r>
        <w:rPr>
          <w:rFonts w:ascii="Calibri" w:eastAsia="Calibri" w:hAnsi="Calibri" w:cs="Calibri"/>
          <w:sz w:val="24"/>
          <w:szCs w:val="24"/>
        </w:rPr>
        <w:t>Possible shift to firm up the waiver process.</w:t>
      </w:r>
    </w:p>
    <w:p w:rsidR="00C967FC" w:rsidRDefault="00991AC9">
      <w:pPr>
        <w:numPr>
          <w:ilvl w:val="1"/>
          <w:numId w:val="4"/>
        </w:numPr>
        <w:rPr>
          <w:rFonts w:ascii="Calibri" w:eastAsia="Calibri" w:hAnsi="Calibri" w:cs="Calibri"/>
          <w:sz w:val="24"/>
          <w:szCs w:val="24"/>
        </w:rPr>
      </w:pPr>
      <w:r>
        <w:rPr>
          <w:rFonts w:ascii="Calibri" w:eastAsia="Calibri" w:hAnsi="Calibri" w:cs="Calibri"/>
          <w:sz w:val="24"/>
          <w:szCs w:val="24"/>
        </w:rPr>
        <w:t xml:space="preserve">Positive feedback on administrative attempts to regulate cell phone </w:t>
      </w:r>
      <w:r>
        <w:rPr>
          <w:rFonts w:ascii="Calibri" w:eastAsia="Calibri" w:hAnsi="Calibri" w:cs="Calibri"/>
          <w:sz w:val="24"/>
          <w:szCs w:val="24"/>
        </w:rPr>
        <w:t>use and add consistency.</w:t>
      </w:r>
    </w:p>
    <w:p w:rsidR="00C967FC" w:rsidRDefault="00C967FC">
      <w:pPr>
        <w:ind w:left="1440"/>
        <w:rPr>
          <w:rFonts w:ascii="Calibri" w:eastAsia="Calibri" w:hAnsi="Calibri" w:cs="Calibri"/>
          <w:sz w:val="24"/>
          <w:szCs w:val="24"/>
        </w:rPr>
      </w:pPr>
    </w:p>
    <w:p w:rsidR="00C967FC" w:rsidRDefault="00C967FC">
      <w:pPr>
        <w:rPr>
          <w:rFonts w:ascii="Calibri" w:eastAsia="Calibri" w:hAnsi="Calibri" w:cs="Calibri"/>
          <w:b/>
          <w:sz w:val="32"/>
          <w:szCs w:val="32"/>
        </w:rPr>
      </w:pPr>
    </w:p>
    <w:p w:rsidR="00C967FC" w:rsidRDefault="00C967FC">
      <w:pPr>
        <w:rPr>
          <w:rFonts w:ascii="Calibri" w:eastAsia="Calibri" w:hAnsi="Calibri" w:cs="Calibri"/>
          <w:b/>
          <w:sz w:val="32"/>
          <w:szCs w:val="32"/>
        </w:rPr>
      </w:pPr>
    </w:p>
    <w:p w:rsidR="00C967FC" w:rsidRDefault="00C967FC">
      <w:pPr>
        <w:rPr>
          <w:rFonts w:ascii="Calibri" w:eastAsia="Calibri" w:hAnsi="Calibri" w:cs="Calibri"/>
          <w:b/>
          <w:sz w:val="32"/>
          <w:szCs w:val="32"/>
        </w:rPr>
      </w:pPr>
    </w:p>
    <w:p w:rsidR="00C967FC" w:rsidRDefault="00C967FC">
      <w:pPr>
        <w:rPr>
          <w:rFonts w:ascii="Calibri" w:eastAsia="Calibri" w:hAnsi="Calibri" w:cs="Calibri"/>
          <w:b/>
          <w:sz w:val="32"/>
          <w:szCs w:val="32"/>
        </w:rPr>
      </w:pPr>
    </w:p>
    <w:p w:rsidR="00C967FC" w:rsidRDefault="00991AC9">
      <w:pPr>
        <w:rPr>
          <w:rFonts w:ascii="Calibri" w:eastAsia="Calibri" w:hAnsi="Calibri" w:cs="Calibri"/>
          <w:b/>
          <w:sz w:val="32"/>
          <w:szCs w:val="32"/>
        </w:rPr>
      </w:pPr>
      <w:r>
        <w:rPr>
          <w:rFonts w:ascii="Calibri" w:eastAsia="Calibri" w:hAnsi="Calibri" w:cs="Calibri"/>
          <w:b/>
          <w:sz w:val="32"/>
          <w:szCs w:val="32"/>
        </w:rPr>
        <w:lastRenderedPageBreak/>
        <w:t>SCHOOL OPENING AND REFLECTIONS</w:t>
      </w:r>
    </w:p>
    <w:p w:rsidR="00C967FC" w:rsidRDefault="00C967FC">
      <w:pPr>
        <w:rPr>
          <w:rFonts w:ascii="Calibri" w:eastAsia="Calibri" w:hAnsi="Calibri" w:cs="Calibri"/>
          <w:b/>
          <w:sz w:val="24"/>
          <w:szCs w:val="24"/>
        </w:rPr>
      </w:pPr>
    </w:p>
    <w:p w:rsidR="00C967FC" w:rsidRDefault="00991AC9">
      <w:pPr>
        <w:numPr>
          <w:ilvl w:val="0"/>
          <w:numId w:val="3"/>
        </w:numPr>
        <w:rPr>
          <w:rFonts w:ascii="Calibri" w:eastAsia="Calibri" w:hAnsi="Calibri" w:cs="Calibri"/>
          <w:sz w:val="24"/>
          <w:szCs w:val="24"/>
        </w:rPr>
      </w:pPr>
      <w:r>
        <w:rPr>
          <w:rFonts w:ascii="Calibri" w:eastAsia="Calibri" w:hAnsi="Calibri" w:cs="Calibri"/>
          <w:sz w:val="24"/>
          <w:szCs w:val="24"/>
        </w:rPr>
        <w:t xml:space="preserve">Andy </w:t>
      </w:r>
      <w:proofErr w:type="spellStart"/>
      <w:r>
        <w:rPr>
          <w:rFonts w:ascii="Calibri" w:eastAsia="Calibri" w:hAnsi="Calibri" w:cs="Calibri"/>
          <w:sz w:val="24"/>
          <w:szCs w:val="24"/>
        </w:rPr>
        <w:t>Wulf</w:t>
      </w:r>
      <w:proofErr w:type="spellEnd"/>
      <w:r>
        <w:rPr>
          <w:rFonts w:ascii="Calibri" w:eastAsia="Calibri" w:hAnsi="Calibri" w:cs="Calibri"/>
          <w:sz w:val="24"/>
          <w:szCs w:val="24"/>
        </w:rPr>
        <w:t xml:space="preserve"> shared highlights from the opening of school and also commented that due to the later than normal start, a lot of the calendar activities were condensed.</w:t>
      </w:r>
    </w:p>
    <w:p w:rsidR="00C967FC" w:rsidRDefault="00C967FC">
      <w:pPr>
        <w:ind w:left="720"/>
        <w:rPr>
          <w:rFonts w:ascii="Calibri" w:eastAsia="Calibri" w:hAnsi="Calibri" w:cs="Calibri"/>
          <w:sz w:val="24"/>
          <w:szCs w:val="24"/>
        </w:rPr>
      </w:pPr>
    </w:p>
    <w:p w:rsidR="00C967FC" w:rsidRDefault="00991AC9">
      <w:pPr>
        <w:numPr>
          <w:ilvl w:val="1"/>
          <w:numId w:val="3"/>
        </w:numPr>
        <w:rPr>
          <w:rFonts w:ascii="Calibri" w:eastAsia="Calibri" w:hAnsi="Calibri" w:cs="Calibri"/>
          <w:sz w:val="24"/>
          <w:szCs w:val="24"/>
        </w:rPr>
      </w:pPr>
      <w:r>
        <w:rPr>
          <w:rFonts w:ascii="Calibri" w:eastAsia="Calibri" w:hAnsi="Calibri" w:cs="Calibri"/>
          <w:sz w:val="24"/>
          <w:szCs w:val="24"/>
        </w:rPr>
        <w:t>He explained the new peer men</w:t>
      </w:r>
      <w:r>
        <w:rPr>
          <w:rFonts w:ascii="Calibri" w:eastAsia="Calibri" w:hAnsi="Calibri" w:cs="Calibri"/>
          <w:sz w:val="24"/>
          <w:szCs w:val="24"/>
        </w:rPr>
        <w:t xml:space="preserve">tor program called Ignite Nation.  This is how last year’s CLIPS program evolved to better enhance the freshmen experience.  Declan </w:t>
      </w:r>
      <w:proofErr w:type="spellStart"/>
      <w:r>
        <w:rPr>
          <w:rFonts w:ascii="Calibri" w:eastAsia="Calibri" w:hAnsi="Calibri" w:cs="Calibri"/>
          <w:sz w:val="24"/>
          <w:szCs w:val="24"/>
        </w:rPr>
        <w:t>Hocheiser</w:t>
      </w:r>
      <w:proofErr w:type="spellEnd"/>
      <w:r>
        <w:rPr>
          <w:rFonts w:ascii="Calibri" w:eastAsia="Calibri" w:hAnsi="Calibri" w:cs="Calibri"/>
          <w:sz w:val="24"/>
          <w:szCs w:val="24"/>
        </w:rPr>
        <w:t xml:space="preserve"> who is a mentor talked about the program and that it was providing a strong leadership foundation for the </w:t>
      </w:r>
      <w:proofErr w:type="gramStart"/>
      <w:r>
        <w:rPr>
          <w:rFonts w:ascii="Calibri" w:eastAsia="Calibri" w:hAnsi="Calibri" w:cs="Calibri"/>
          <w:sz w:val="24"/>
          <w:szCs w:val="24"/>
        </w:rPr>
        <w:t>students</w:t>
      </w:r>
      <w:proofErr w:type="gramEnd"/>
      <w:r>
        <w:rPr>
          <w:rFonts w:ascii="Calibri" w:eastAsia="Calibri" w:hAnsi="Calibri" w:cs="Calibri"/>
          <w:sz w:val="24"/>
          <w:szCs w:val="24"/>
        </w:rPr>
        <w:t xml:space="preserve"> part of it.  </w:t>
      </w:r>
      <w:proofErr w:type="spellStart"/>
      <w:r>
        <w:rPr>
          <w:rFonts w:ascii="Calibri" w:eastAsia="Calibri" w:hAnsi="Calibri" w:cs="Calibri"/>
          <w:sz w:val="24"/>
          <w:szCs w:val="24"/>
        </w:rPr>
        <w:t>Its</w:t>
      </w:r>
      <w:proofErr w:type="spellEnd"/>
      <w:r>
        <w:rPr>
          <w:rFonts w:ascii="Calibri" w:eastAsia="Calibri" w:hAnsi="Calibri" w:cs="Calibri"/>
          <w:sz w:val="24"/>
          <w:szCs w:val="24"/>
        </w:rPr>
        <w:t xml:space="preserve"> been great to work with the freshmen and support their transition. </w:t>
      </w:r>
    </w:p>
    <w:p w:rsidR="00C967FC" w:rsidRDefault="00C967FC">
      <w:pPr>
        <w:ind w:left="1440"/>
        <w:rPr>
          <w:rFonts w:ascii="Calibri" w:eastAsia="Calibri" w:hAnsi="Calibri" w:cs="Calibri"/>
          <w:sz w:val="24"/>
          <w:szCs w:val="24"/>
        </w:rPr>
      </w:pPr>
    </w:p>
    <w:p w:rsidR="00C967FC" w:rsidRDefault="00991AC9">
      <w:pPr>
        <w:numPr>
          <w:ilvl w:val="1"/>
          <w:numId w:val="3"/>
        </w:numPr>
        <w:rPr>
          <w:rFonts w:ascii="Calibri" w:eastAsia="Calibri" w:hAnsi="Calibri" w:cs="Calibri"/>
          <w:sz w:val="24"/>
          <w:szCs w:val="24"/>
        </w:rPr>
      </w:pPr>
      <w:r>
        <w:rPr>
          <w:rFonts w:ascii="Calibri" w:eastAsia="Calibri" w:hAnsi="Calibri" w:cs="Calibri"/>
          <w:sz w:val="24"/>
          <w:szCs w:val="24"/>
        </w:rPr>
        <w:t xml:space="preserve">Grade 10 and 11 on Oct. 5 took the PSAT while freshmen continued with their transition activities. Seniors had the opportunity to visit colleges, job shadow, or receive help on their applications. </w:t>
      </w:r>
    </w:p>
    <w:p w:rsidR="00C967FC" w:rsidRDefault="00C967FC">
      <w:pPr>
        <w:rPr>
          <w:rFonts w:ascii="Calibri" w:eastAsia="Calibri" w:hAnsi="Calibri" w:cs="Calibri"/>
          <w:sz w:val="24"/>
          <w:szCs w:val="24"/>
        </w:rPr>
      </w:pPr>
    </w:p>
    <w:p w:rsidR="00C967FC" w:rsidRDefault="00991AC9">
      <w:pPr>
        <w:numPr>
          <w:ilvl w:val="0"/>
          <w:numId w:val="5"/>
        </w:numPr>
        <w:rPr>
          <w:rFonts w:ascii="Calibri" w:eastAsia="Calibri" w:hAnsi="Calibri" w:cs="Calibri"/>
          <w:sz w:val="24"/>
          <w:szCs w:val="24"/>
        </w:rPr>
      </w:pPr>
      <w:r>
        <w:rPr>
          <w:rFonts w:ascii="Calibri" w:eastAsia="Calibri" w:hAnsi="Calibri" w:cs="Calibri"/>
          <w:sz w:val="24"/>
          <w:szCs w:val="24"/>
        </w:rPr>
        <w:t xml:space="preserve">School &amp; Building Safety:  Dean Jim </w:t>
      </w:r>
      <w:proofErr w:type="spellStart"/>
      <w:r>
        <w:rPr>
          <w:rFonts w:ascii="Calibri" w:eastAsia="Calibri" w:hAnsi="Calibri" w:cs="Calibri"/>
          <w:sz w:val="24"/>
          <w:szCs w:val="24"/>
        </w:rPr>
        <w:t>Antonelli</w:t>
      </w:r>
      <w:proofErr w:type="spellEnd"/>
      <w:r>
        <w:rPr>
          <w:rFonts w:ascii="Calibri" w:eastAsia="Calibri" w:hAnsi="Calibri" w:cs="Calibri"/>
          <w:sz w:val="24"/>
          <w:szCs w:val="24"/>
        </w:rPr>
        <w:t xml:space="preserve"> reviewed wo</w:t>
      </w:r>
      <w:r>
        <w:rPr>
          <w:rFonts w:ascii="Calibri" w:eastAsia="Calibri" w:hAnsi="Calibri" w:cs="Calibri"/>
          <w:sz w:val="24"/>
          <w:szCs w:val="24"/>
        </w:rPr>
        <w:t>rk that has taken place around School and Building Safety.</w:t>
      </w:r>
    </w:p>
    <w:p w:rsidR="00C967FC" w:rsidRDefault="00C967FC">
      <w:pPr>
        <w:ind w:left="720"/>
        <w:rPr>
          <w:rFonts w:ascii="Calibri" w:eastAsia="Calibri" w:hAnsi="Calibri" w:cs="Calibri"/>
          <w:sz w:val="24"/>
          <w:szCs w:val="24"/>
        </w:rPr>
      </w:pPr>
    </w:p>
    <w:p w:rsidR="00C967FC" w:rsidRDefault="00991AC9">
      <w:pPr>
        <w:numPr>
          <w:ilvl w:val="1"/>
          <w:numId w:val="5"/>
        </w:numPr>
        <w:rPr>
          <w:rFonts w:ascii="Calibri" w:eastAsia="Calibri" w:hAnsi="Calibri" w:cs="Calibri"/>
          <w:sz w:val="24"/>
          <w:szCs w:val="24"/>
        </w:rPr>
      </w:pPr>
      <w:r>
        <w:rPr>
          <w:rFonts w:ascii="Calibri" w:eastAsia="Calibri" w:hAnsi="Calibri" w:cs="Calibri"/>
          <w:sz w:val="24"/>
          <w:szCs w:val="24"/>
        </w:rPr>
        <w:t xml:space="preserve">NHS has completed 1 fire drill and 1 lockdown drill.  </w:t>
      </w:r>
    </w:p>
    <w:p w:rsidR="00C967FC" w:rsidRDefault="00991AC9">
      <w:pPr>
        <w:numPr>
          <w:ilvl w:val="1"/>
          <w:numId w:val="5"/>
        </w:numPr>
        <w:rPr>
          <w:rFonts w:ascii="Calibri" w:eastAsia="Calibri" w:hAnsi="Calibri" w:cs="Calibri"/>
          <w:sz w:val="24"/>
          <w:szCs w:val="24"/>
        </w:rPr>
      </w:pPr>
      <w:r>
        <w:rPr>
          <w:rFonts w:ascii="Calibri" w:eastAsia="Calibri" w:hAnsi="Calibri" w:cs="Calibri"/>
          <w:sz w:val="24"/>
          <w:szCs w:val="24"/>
        </w:rPr>
        <w:t xml:space="preserve">Addition of magnets to door jams, addition of more </w:t>
      </w:r>
      <w:proofErr w:type="spellStart"/>
      <w:r>
        <w:rPr>
          <w:rFonts w:ascii="Calibri" w:eastAsia="Calibri" w:hAnsi="Calibri" w:cs="Calibri"/>
          <w:sz w:val="24"/>
          <w:szCs w:val="24"/>
        </w:rPr>
        <w:t>walkie</w:t>
      </w:r>
      <w:proofErr w:type="spellEnd"/>
      <w:r>
        <w:rPr>
          <w:rFonts w:ascii="Calibri" w:eastAsia="Calibri" w:hAnsi="Calibri" w:cs="Calibri"/>
          <w:sz w:val="24"/>
          <w:szCs w:val="24"/>
        </w:rPr>
        <w:t xml:space="preserve"> talkie radios, SRO has access to security camera system.</w:t>
      </w:r>
    </w:p>
    <w:p w:rsidR="00C967FC" w:rsidRDefault="00991AC9">
      <w:pPr>
        <w:numPr>
          <w:ilvl w:val="1"/>
          <w:numId w:val="5"/>
        </w:numPr>
        <w:rPr>
          <w:rFonts w:ascii="Calibri" w:eastAsia="Calibri" w:hAnsi="Calibri" w:cs="Calibri"/>
          <w:sz w:val="24"/>
          <w:szCs w:val="24"/>
        </w:rPr>
      </w:pPr>
      <w:r>
        <w:rPr>
          <w:rFonts w:ascii="Calibri" w:eastAsia="Calibri" w:hAnsi="Calibri" w:cs="Calibri"/>
          <w:sz w:val="24"/>
          <w:szCs w:val="24"/>
        </w:rPr>
        <w:t>Saturday, Oct. 21 Police, Fire &amp; EMT are invited to do an active shooter intruder drill at NHS.  Still in the planning stages, date is hopeful.</w:t>
      </w:r>
    </w:p>
    <w:p w:rsidR="00C967FC" w:rsidRDefault="00991AC9">
      <w:pPr>
        <w:numPr>
          <w:ilvl w:val="1"/>
          <w:numId w:val="5"/>
        </w:numPr>
        <w:rPr>
          <w:rFonts w:ascii="Calibri" w:eastAsia="Calibri" w:hAnsi="Calibri" w:cs="Calibri"/>
          <w:sz w:val="24"/>
          <w:szCs w:val="24"/>
        </w:rPr>
      </w:pPr>
      <w:r>
        <w:rPr>
          <w:rFonts w:ascii="Calibri" w:eastAsia="Calibri" w:hAnsi="Calibri" w:cs="Calibri"/>
          <w:sz w:val="24"/>
          <w:szCs w:val="24"/>
        </w:rPr>
        <w:t>Next phase of planning will be to drill/practice with a reunification point to have a plan in place when parents</w:t>
      </w:r>
      <w:r>
        <w:rPr>
          <w:rFonts w:ascii="Calibri" w:eastAsia="Calibri" w:hAnsi="Calibri" w:cs="Calibri"/>
          <w:sz w:val="24"/>
          <w:szCs w:val="24"/>
        </w:rPr>
        <w:t xml:space="preserve">/guardians can pick up their child at the reunification point rather than at NHS.  </w:t>
      </w:r>
    </w:p>
    <w:p w:rsidR="00C967FC" w:rsidRDefault="00991AC9">
      <w:pPr>
        <w:numPr>
          <w:ilvl w:val="1"/>
          <w:numId w:val="5"/>
        </w:numPr>
        <w:rPr>
          <w:rFonts w:ascii="Calibri" w:eastAsia="Calibri" w:hAnsi="Calibri" w:cs="Calibri"/>
          <w:sz w:val="24"/>
          <w:szCs w:val="24"/>
        </w:rPr>
      </w:pPr>
      <w:r>
        <w:rPr>
          <w:rFonts w:ascii="Calibri" w:eastAsia="Calibri" w:hAnsi="Calibri" w:cs="Calibri"/>
          <w:sz w:val="24"/>
          <w:szCs w:val="24"/>
        </w:rPr>
        <w:t>Addition of school maps within each police cruiser.</w:t>
      </w:r>
    </w:p>
    <w:p w:rsidR="00C967FC" w:rsidRDefault="00991AC9">
      <w:pPr>
        <w:numPr>
          <w:ilvl w:val="1"/>
          <w:numId w:val="5"/>
        </w:numPr>
        <w:rPr>
          <w:rFonts w:ascii="Calibri" w:eastAsia="Calibri" w:hAnsi="Calibri" w:cs="Calibri"/>
          <w:sz w:val="24"/>
          <w:szCs w:val="24"/>
        </w:rPr>
      </w:pPr>
      <w:r>
        <w:rPr>
          <w:rFonts w:ascii="Calibri" w:eastAsia="Calibri" w:hAnsi="Calibri" w:cs="Calibri"/>
          <w:sz w:val="24"/>
          <w:szCs w:val="24"/>
        </w:rPr>
        <w:t>Improvement of signage/numbers of exterior doors at NHS.</w:t>
      </w:r>
    </w:p>
    <w:p w:rsidR="00C967FC" w:rsidRDefault="00C967FC">
      <w:pPr>
        <w:rPr>
          <w:rFonts w:ascii="Calibri" w:eastAsia="Calibri" w:hAnsi="Calibri" w:cs="Calibri"/>
          <w:sz w:val="24"/>
          <w:szCs w:val="24"/>
        </w:rPr>
      </w:pPr>
    </w:p>
    <w:p w:rsidR="00C967FC" w:rsidRDefault="00991AC9">
      <w:pPr>
        <w:widowControl w:val="0"/>
        <w:spacing w:after="240"/>
        <w:rPr>
          <w:rFonts w:ascii="Calibri" w:eastAsia="Calibri" w:hAnsi="Calibri" w:cs="Calibri"/>
          <w:sz w:val="24"/>
          <w:szCs w:val="24"/>
        </w:rPr>
      </w:pPr>
      <w:r>
        <w:rPr>
          <w:rFonts w:ascii="Calibri" w:eastAsia="Calibri" w:hAnsi="Calibri" w:cs="Calibri"/>
          <w:b/>
          <w:sz w:val="28"/>
          <w:szCs w:val="28"/>
        </w:rPr>
        <w:t>Review school performance and accreditation information to ref</w:t>
      </w:r>
      <w:r>
        <w:rPr>
          <w:rFonts w:ascii="Calibri" w:eastAsia="Calibri" w:hAnsi="Calibri" w:cs="Calibri"/>
          <w:b/>
          <w:sz w:val="28"/>
          <w:szCs w:val="28"/>
        </w:rPr>
        <w:t>lect on current school improvement plan</w:t>
      </w:r>
    </w:p>
    <w:p w:rsidR="00C967FC" w:rsidRDefault="00991AC9">
      <w:pPr>
        <w:numPr>
          <w:ilvl w:val="0"/>
          <w:numId w:val="3"/>
        </w:numPr>
        <w:rPr>
          <w:rFonts w:ascii="Calibri" w:eastAsia="Calibri" w:hAnsi="Calibri" w:cs="Calibri"/>
          <w:b/>
          <w:sz w:val="24"/>
          <w:szCs w:val="24"/>
        </w:rPr>
      </w:pPr>
      <w:r>
        <w:rPr>
          <w:rFonts w:ascii="Calibri" w:eastAsia="Calibri" w:hAnsi="Calibri" w:cs="Calibri"/>
          <w:b/>
          <w:sz w:val="24"/>
          <w:szCs w:val="24"/>
        </w:rPr>
        <w:t xml:space="preserve">NEASC Accreditation Visit Summary (Andy </w:t>
      </w:r>
      <w:proofErr w:type="spellStart"/>
      <w:r>
        <w:rPr>
          <w:rFonts w:ascii="Calibri" w:eastAsia="Calibri" w:hAnsi="Calibri" w:cs="Calibri"/>
          <w:b/>
          <w:sz w:val="24"/>
          <w:szCs w:val="24"/>
        </w:rPr>
        <w:t>Wulf</w:t>
      </w:r>
      <w:proofErr w:type="spellEnd"/>
      <w:r>
        <w:rPr>
          <w:rFonts w:ascii="Calibri" w:eastAsia="Calibri" w:hAnsi="Calibri" w:cs="Calibri"/>
          <w:b/>
          <w:sz w:val="24"/>
          <w:szCs w:val="24"/>
        </w:rPr>
        <w:t xml:space="preserve"> Summarized)</w:t>
      </w:r>
    </w:p>
    <w:p w:rsidR="00C967FC" w:rsidRDefault="00C967FC">
      <w:pPr>
        <w:ind w:left="720"/>
        <w:rPr>
          <w:rFonts w:ascii="Calibri" w:eastAsia="Calibri" w:hAnsi="Calibri" w:cs="Calibri"/>
          <w:sz w:val="24"/>
          <w:szCs w:val="24"/>
        </w:rPr>
      </w:pPr>
    </w:p>
    <w:p w:rsidR="00C967FC" w:rsidRDefault="00991AC9">
      <w:pPr>
        <w:numPr>
          <w:ilvl w:val="1"/>
          <w:numId w:val="3"/>
        </w:numPr>
        <w:rPr>
          <w:rFonts w:ascii="Calibri" w:eastAsia="Calibri" w:hAnsi="Calibri" w:cs="Calibri"/>
          <w:sz w:val="24"/>
          <w:szCs w:val="24"/>
        </w:rPr>
      </w:pPr>
      <w:r>
        <w:rPr>
          <w:rFonts w:ascii="Calibri" w:eastAsia="Calibri" w:hAnsi="Calibri" w:cs="Calibri"/>
          <w:sz w:val="24"/>
          <w:szCs w:val="24"/>
        </w:rPr>
        <w:t>The Accreditation team visited NHS last week.  (Sept 27-28)</w:t>
      </w:r>
    </w:p>
    <w:p w:rsidR="00C967FC" w:rsidRDefault="00C967FC">
      <w:pPr>
        <w:ind w:left="1440"/>
        <w:rPr>
          <w:rFonts w:ascii="Calibri" w:eastAsia="Calibri" w:hAnsi="Calibri" w:cs="Calibri"/>
          <w:sz w:val="24"/>
          <w:szCs w:val="24"/>
        </w:rPr>
      </w:pPr>
    </w:p>
    <w:p w:rsidR="00C967FC" w:rsidRDefault="00991AC9">
      <w:pPr>
        <w:numPr>
          <w:ilvl w:val="1"/>
          <w:numId w:val="3"/>
        </w:numPr>
        <w:rPr>
          <w:rFonts w:ascii="Calibri" w:eastAsia="Calibri" w:hAnsi="Calibri" w:cs="Calibri"/>
          <w:sz w:val="24"/>
          <w:szCs w:val="24"/>
        </w:rPr>
      </w:pPr>
      <w:r>
        <w:rPr>
          <w:rFonts w:ascii="Calibri" w:eastAsia="Calibri" w:hAnsi="Calibri" w:cs="Calibri"/>
          <w:sz w:val="24"/>
          <w:szCs w:val="24"/>
        </w:rPr>
        <w:t>The visiting team agreed with the findings of the self-study conducted by the faculty last spring</w:t>
      </w:r>
      <w:r>
        <w:rPr>
          <w:rFonts w:ascii="Calibri" w:eastAsia="Calibri" w:hAnsi="Calibri" w:cs="Calibri"/>
          <w:sz w:val="24"/>
          <w:szCs w:val="24"/>
        </w:rPr>
        <w:t>.</w:t>
      </w:r>
    </w:p>
    <w:p w:rsidR="00C967FC" w:rsidRDefault="00C967FC">
      <w:pPr>
        <w:ind w:left="1440"/>
        <w:rPr>
          <w:rFonts w:ascii="Calibri" w:eastAsia="Calibri" w:hAnsi="Calibri" w:cs="Calibri"/>
          <w:sz w:val="24"/>
          <w:szCs w:val="24"/>
        </w:rPr>
      </w:pPr>
    </w:p>
    <w:p w:rsidR="00C967FC" w:rsidRDefault="00991AC9">
      <w:pPr>
        <w:numPr>
          <w:ilvl w:val="1"/>
          <w:numId w:val="3"/>
        </w:numPr>
        <w:rPr>
          <w:rFonts w:ascii="Calibri" w:eastAsia="Calibri" w:hAnsi="Calibri" w:cs="Calibri"/>
          <w:sz w:val="24"/>
          <w:szCs w:val="24"/>
        </w:rPr>
      </w:pPr>
      <w:r>
        <w:rPr>
          <w:rFonts w:ascii="Calibri" w:eastAsia="Calibri" w:hAnsi="Calibri" w:cs="Calibri"/>
          <w:sz w:val="24"/>
          <w:szCs w:val="24"/>
        </w:rPr>
        <w:t xml:space="preserve">Mr. </w:t>
      </w:r>
      <w:proofErr w:type="spellStart"/>
      <w:r>
        <w:rPr>
          <w:rFonts w:ascii="Calibri" w:eastAsia="Calibri" w:hAnsi="Calibri" w:cs="Calibri"/>
          <w:sz w:val="24"/>
          <w:szCs w:val="24"/>
        </w:rPr>
        <w:t>Wulf</w:t>
      </w:r>
      <w:proofErr w:type="spellEnd"/>
      <w:r>
        <w:rPr>
          <w:rFonts w:ascii="Calibri" w:eastAsia="Calibri" w:hAnsi="Calibri" w:cs="Calibri"/>
          <w:sz w:val="24"/>
          <w:szCs w:val="24"/>
        </w:rPr>
        <w:t xml:space="preserve"> provided a summary of the next action steps:</w:t>
      </w:r>
    </w:p>
    <w:p w:rsidR="00C967FC" w:rsidRDefault="00C967FC">
      <w:pPr>
        <w:ind w:left="1440"/>
        <w:rPr>
          <w:rFonts w:ascii="Calibri" w:eastAsia="Calibri" w:hAnsi="Calibri" w:cs="Calibri"/>
          <w:sz w:val="24"/>
          <w:szCs w:val="24"/>
        </w:rPr>
      </w:pPr>
    </w:p>
    <w:p w:rsidR="00C967FC" w:rsidRDefault="00991AC9">
      <w:pPr>
        <w:numPr>
          <w:ilvl w:val="2"/>
          <w:numId w:val="3"/>
        </w:numPr>
        <w:rPr>
          <w:rFonts w:ascii="Calibri" w:eastAsia="Calibri" w:hAnsi="Calibri" w:cs="Calibri"/>
          <w:sz w:val="24"/>
          <w:szCs w:val="24"/>
        </w:rPr>
      </w:pPr>
      <w:r>
        <w:rPr>
          <w:rFonts w:ascii="Calibri" w:eastAsia="Calibri" w:hAnsi="Calibri" w:cs="Calibri"/>
          <w:sz w:val="24"/>
          <w:szCs w:val="24"/>
        </w:rPr>
        <w:t xml:space="preserve">How do we enact the components of the Portrait of a </w:t>
      </w:r>
      <w:proofErr w:type="gramStart"/>
      <w:r>
        <w:rPr>
          <w:rFonts w:ascii="Calibri" w:eastAsia="Calibri" w:hAnsi="Calibri" w:cs="Calibri"/>
          <w:sz w:val="24"/>
          <w:szCs w:val="24"/>
        </w:rPr>
        <w:t>Graduate</w:t>
      </w:r>
      <w:proofErr w:type="gramEnd"/>
    </w:p>
    <w:p w:rsidR="00C967FC" w:rsidRDefault="00991AC9">
      <w:pPr>
        <w:numPr>
          <w:ilvl w:val="2"/>
          <w:numId w:val="3"/>
        </w:numPr>
        <w:rPr>
          <w:rFonts w:ascii="Calibri" w:eastAsia="Calibri" w:hAnsi="Calibri" w:cs="Calibri"/>
          <w:sz w:val="24"/>
          <w:szCs w:val="24"/>
        </w:rPr>
      </w:pPr>
      <w:r>
        <w:rPr>
          <w:rFonts w:ascii="Calibri" w:eastAsia="Calibri" w:hAnsi="Calibri" w:cs="Calibri"/>
          <w:sz w:val="24"/>
          <w:szCs w:val="24"/>
        </w:rPr>
        <w:t>Increase Faculty Voice alongside Student Voice</w:t>
      </w:r>
    </w:p>
    <w:p w:rsidR="00C967FC" w:rsidRDefault="00991AC9">
      <w:pPr>
        <w:numPr>
          <w:ilvl w:val="2"/>
          <w:numId w:val="3"/>
        </w:numPr>
        <w:rPr>
          <w:rFonts w:ascii="Calibri" w:eastAsia="Calibri" w:hAnsi="Calibri" w:cs="Calibri"/>
          <w:sz w:val="24"/>
          <w:szCs w:val="24"/>
        </w:rPr>
      </w:pPr>
      <w:r>
        <w:rPr>
          <w:rFonts w:ascii="Calibri" w:eastAsia="Calibri" w:hAnsi="Calibri" w:cs="Calibri"/>
          <w:sz w:val="24"/>
          <w:szCs w:val="24"/>
        </w:rPr>
        <w:t>Use of building space &amp; being more efficient /creative with what we have.</w:t>
      </w:r>
    </w:p>
    <w:p w:rsidR="00C967FC" w:rsidRDefault="00991AC9">
      <w:pPr>
        <w:numPr>
          <w:ilvl w:val="2"/>
          <w:numId w:val="3"/>
        </w:numPr>
        <w:rPr>
          <w:rFonts w:ascii="Calibri" w:eastAsia="Calibri" w:hAnsi="Calibri" w:cs="Calibri"/>
          <w:sz w:val="24"/>
          <w:szCs w:val="24"/>
        </w:rPr>
      </w:pPr>
      <w:r>
        <w:rPr>
          <w:rFonts w:ascii="Calibri" w:eastAsia="Calibri" w:hAnsi="Calibri" w:cs="Calibri"/>
          <w:sz w:val="24"/>
          <w:szCs w:val="24"/>
        </w:rPr>
        <w:t>Teaching &amp; Learning Cycles</w:t>
      </w:r>
    </w:p>
    <w:p w:rsidR="00C967FC" w:rsidRDefault="00991AC9">
      <w:pPr>
        <w:numPr>
          <w:ilvl w:val="2"/>
          <w:numId w:val="3"/>
        </w:numPr>
        <w:rPr>
          <w:rFonts w:ascii="Calibri" w:eastAsia="Calibri" w:hAnsi="Calibri" w:cs="Calibri"/>
          <w:sz w:val="24"/>
          <w:szCs w:val="24"/>
        </w:rPr>
      </w:pPr>
      <w:r>
        <w:rPr>
          <w:rFonts w:ascii="Calibri" w:eastAsia="Calibri" w:hAnsi="Calibri" w:cs="Calibri"/>
          <w:sz w:val="24"/>
          <w:szCs w:val="24"/>
        </w:rPr>
        <w:t>Interventions for students who demonstrate they aren’t meeting targets.</w:t>
      </w:r>
    </w:p>
    <w:p w:rsidR="00C967FC" w:rsidRDefault="00C967FC">
      <w:pPr>
        <w:ind w:left="2160"/>
        <w:rPr>
          <w:rFonts w:ascii="Calibri" w:eastAsia="Calibri" w:hAnsi="Calibri" w:cs="Calibri"/>
          <w:sz w:val="24"/>
          <w:szCs w:val="24"/>
        </w:rPr>
      </w:pPr>
    </w:p>
    <w:p w:rsidR="00C967FC" w:rsidRDefault="00991AC9">
      <w:pPr>
        <w:numPr>
          <w:ilvl w:val="0"/>
          <w:numId w:val="3"/>
        </w:numPr>
        <w:rPr>
          <w:rFonts w:ascii="Calibri" w:eastAsia="Calibri" w:hAnsi="Calibri" w:cs="Calibri"/>
          <w:b/>
          <w:sz w:val="24"/>
          <w:szCs w:val="24"/>
        </w:rPr>
      </w:pPr>
      <w:r>
        <w:rPr>
          <w:rFonts w:ascii="Calibri" w:eastAsia="Calibri" w:hAnsi="Calibri" w:cs="Calibri"/>
          <w:b/>
          <w:sz w:val="24"/>
          <w:szCs w:val="24"/>
        </w:rPr>
        <w:t>SCHOOL PERFORMANCE</w:t>
      </w:r>
    </w:p>
    <w:p w:rsidR="00C967FC" w:rsidRDefault="00C967FC">
      <w:pPr>
        <w:ind w:left="720"/>
        <w:rPr>
          <w:rFonts w:ascii="Calibri" w:eastAsia="Calibri" w:hAnsi="Calibri" w:cs="Calibri"/>
          <w:sz w:val="24"/>
          <w:szCs w:val="24"/>
        </w:rPr>
      </w:pPr>
    </w:p>
    <w:p w:rsidR="00C967FC" w:rsidRDefault="00991AC9">
      <w:pPr>
        <w:numPr>
          <w:ilvl w:val="1"/>
          <w:numId w:val="3"/>
        </w:numPr>
        <w:rPr>
          <w:rFonts w:ascii="Calibri" w:eastAsia="Calibri" w:hAnsi="Calibri" w:cs="Calibri"/>
          <w:sz w:val="24"/>
          <w:szCs w:val="24"/>
        </w:rPr>
      </w:pPr>
      <w:r>
        <w:rPr>
          <w:rFonts w:ascii="Calibri" w:eastAsia="Calibri" w:hAnsi="Calibri" w:cs="Calibri"/>
          <w:sz w:val="24"/>
          <w:szCs w:val="24"/>
        </w:rPr>
        <w:t>Overview of accountability data from the state:</w:t>
      </w:r>
    </w:p>
    <w:p w:rsidR="00C967FC" w:rsidRDefault="00991AC9">
      <w:pPr>
        <w:numPr>
          <w:ilvl w:val="1"/>
          <w:numId w:val="2"/>
        </w:numPr>
        <w:rPr>
          <w:rFonts w:ascii="Calibri" w:eastAsia="Calibri" w:hAnsi="Calibri" w:cs="Calibri"/>
          <w:sz w:val="24"/>
          <w:szCs w:val="24"/>
        </w:rPr>
      </w:pPr>
      <w:r>
        <w:rPr>
          <w:rFonts w:ascii="Calibri" w:eastAsia="Calibri" w:hAnsi="Calibri" w:cs="Calibri"/>
          <w:sz w:val="24"/>
          <w:szCs w:val="24"/>
        </w:rPr>
        <w:t xml:space="preserve">Council members reviewed a summary of </w:t>
      </w:r>
      <w:hyperlink r:id="rId5">
        <w:r>
          <w:rPr>
            <w:rFonts w:ascii="Calibri" w:eastAsia="Calibri" w:hAnsi="Calibri" w:cs="Calibri"/>
            <w:color w:val="1155CC"/>
            <w:sz w:val="24"/>
            <w:szCs w:val="24"/>
            <w:u w:val="single"/>
          </w:rPr>
          <w:t>ELA, Math and Biology results from 2022 and 2023  This sheet also includes other accountability measures such as attendance, graduation rates, and advanced coursework..</w:t>
        </w:r>
      </w:hyperlink>
      <w:r>
        <w:rPr>
          <w:rFonts w:ascii="Calibri" w:eastAsia="Calibri" w:hAnsi="Calibri" w:cs="Calibri"/>
          <w:sz w:val="24"/>
          <w:szCs w:val="24"/>
        </w:rPr>
        <w:t xml:space="preserve"> </w:t>
      </w:r>
    </w:p>
    <w:p w:rsidR="00C967FC" w:rsidRDefault="00C967FC">
      <w:pPr>
        <w:ind w:left="2160"/>
        <w:rPr>
          <w:rFonts w:ascii="Calibri" w:eastAsia="Calibri" w:hAnsi="Calibri" w:cs="Calibri"/>
          <w:sz w:val="24"/>
          <w:szCs w:val="24"/>
        </w:rPr>
      </w:pPr>
    </w:p>
    <w:p w:rsidR="00C967FC" w:rsidRDefault="00991AC9">
      <w:pPr>
        <w:numPr>
          <w:ilvl w:val="1"/>
          <w:numId w:val="2"/>
        </w:numPr>
        <w:rPr>
          <w:rFonts w:ascii="Calibri" w:eastAsia="Calibri" w:hAnsi="Calibri" w:cs="Calibri"/>
          <w:sz w:val="24"/>
          <w:szCs w:val="24"/>
        </w:rPr>
      </w:pPr>
      <w:r>
        <w:rPr>
          <w:rFonts w:ascii="Calibri" w:eastAsia="Calibri" w:hAnsi="Calibri" w:cs="Calibri"/>
          <w:sz w:val="24"/>
          <w:szCs w:val="24"/>
        </w:rPr>
        <w:t>General Summary</w:t>
      </w:r>
      <w:r>
        <w:rPr>
          <w:rFonts w:ascii="Calibri" w:eastAsia="Calibri" w:hAnsi="Calibri" w:cs="Calibri"/>
          <w:sz w:val="24"/>
          <w:szCs w:val="24"/>
        </w:rPr>
        <w:t xml:space="preserve"> Discussed by the Council below:</w:t>
      </w:r>
    </w:p>
    <w:p w:rsidR="00C967FC" w:rsidRDefault="00C967FC">
      <w:pPr>
        <w:rPr>
          <w:sz w:val="24"/>
          <w:szCs w:val="24"/>
        </w:rPr>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2"/>
        <w:gridCol w:w="2862"/>
        <w:gridCol w:w="1092"/>
        <w:gridCol w:w="207"/>
        <w:gridCol w:w="3015"/>
        <w:gridCol w:w="1092"/>
      </w:tblGrid>
      <w:tr w:rsidR="00C967FC">
        <w:trPr>
          <w:trHeight w:val="330"/>
        </w:trPr>
        <w:tc>
          <w:tcPr>
            <w:tcW w:w="1092" w:type="dxa"/>
            <w:tcBorders>
              <w:right w:val="single" w:sz="18" w:space="0" w:color="000000"/>
            </w:tcBorders>
            <w:tcMar>
              <w:top w:w="40" w:type="dxa"/>
              <w:left w:w="40" w:type="dxa"/>
              <w:bottom w:w="40" w:type="dxa"/>
              <w:right w:w="40" w:type="dxa"/>
            </w:tcMar>
            <w:vAlign w:val="bottom"/>
          </w:tcPr>
          <w:p w:rsidR="00C967FC" w:rsidRDefault="00C967FC">
            <w:pPr>
              <w:widowControl w:val="0"/>
              <w:rPr>
                <w:sz w:val="20"/>
                <w:szCs w:val="20"/>
              </w:rPr>
            </w:pPr>
          </w:p>
        </w:tc>
        <w:tc>
          <w:tcPr>
            <w:tcW w:w="3953" w:type="dxa"/>
            <w:gridSpan w:val="2"/>
            <w:tcBorders>
              <w:top w:val="single" w:sz="18" w:space="0" w:color="000000"/>
              <w:bottom w:val="single" w:sz="18" w:space="0" w:color="000000"/>
              <w:right w:val="single" w:sz="18" w:space="0" w:color="000000"/>
            </w:tcBorders>
            <w:tcMar>
              <w:top w:w="40" w:type="dxa"/>
              <w:left w:w="40" w:type="dxa"/>
              <w:bottom w:w="40" w:type="dxa"/>
              <w:right w:w="40" w:type="dxa"/>
            </w:tcMar>
            <w:vAlign w:val="center"/>
          </w:tcPr>
          <w:p w:rsidR="00C967FC" w:rsidRDefault="00991AC9">
            <w:pPr>
              <w:widowControl w:val="0"/>
              <w:jc w:val="center"/>
              <w:rPr>
                <w:sz w:val="20"/>
                <w:szCs w:val="20"/>
              </w:rPr>
            </w:pPr>
            <w:r>
              <w:rPr>
                <w:sz w:val="20"/>
                <w:szCs w:val="20"/>
              </w:rPr>
              <w:t>HIGHLIGHTS</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4106" w:type="dxa"/>
            <w:gridSpan w:val="2"/>
            <w:tcBorders>
              <w:top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jc w:val="center"/>
              <w:rPr>
                <w:sz w:val="20"/>
                <w:szCs w:val="20"/>
              </w:rPr>
            </w:pPr>
            <w:r>
              <w:rPr>
                <w:sz w:val="20"/>
                <w:szCs w:val="20"/>
              </w:rPr>
              <w:t>AREAS FOR ACTION PLANNING</w:t>
            </w:r>
          </w:p>
        </w:tc>
      </w:tr>
      <w:tr w:rsidR="00C967FC">
        <w:trPr>
          <w:trHeight w:val="105"/>
        </w:trPr>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2861"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207"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r>
      <w:tr w:rsidR="00C967FC">
        <w:trPr>
          <w:trHeight w:val="315"/>
        </w:trPr>
        <w:tc>
          <w:tcPr>
            <w:tcW w:w="1092" w:type="dxa"/>
            <w:vMerge w:val="restart"/>
            <w:tcBorders>
              <w:left w:val="single" w:sz="18" w:space="0" w:color="000000"/>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ELA</w:t>
            </w:r>
          </w:p>
        </w:tc>
        <w:tc>
          <w:tcPr>
            <w:tcW w:w="2861"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Increase ALL Students Exceeding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2022 - 8%</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Decrease High Needs Meeting/Exceeding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2022 - 46</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2023 - 21%</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2023 - 37</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Decrease SWD Not Meeting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2022 - 11%</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proofErr w:type="spellStart"/>
            <w:r>
              <w:rPr>
                <w:sz w:val="20"/>
                <w:szCs w:val="20"/>
              </w:rPr>
              <w:t>Incease</w:t>
            </w:r>
            <w:proofErr w:type="spellEnd"/>
            <w:r>
              <w:rPr>
                <w:sz w:val="20"/>
                <w:szCs w:val="20"/>
              </w:rPr>
              <w:t xml:space="preserve"> High Needs Not Meeting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2022 - 7%</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2023 - 6%</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2023 - 21%</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 xml:space="preserve">Low </w:t>
            </w:r>
            <w:proofErr w:type="spellStart"/>
            <w:r>
              <w:rPr>
                <w:sz w:val="20"/>
                <w:szCs w:val="20"/>
              </w:rPr>
              <w:t>Typcial</w:t>
            </w:r>
            <w:proofErr w:type="spellEnd"/>
            <w:r>
              <w:rPr>
                <w:sz w:val="20"/>
                <w:szCs w:val="20"/>
              </w:rPr>
              <w:t xml:space="preserve"> Growth - SWD + High Needs</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SWD - 40</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tcBorders>
              <w:bottom w:val="single" w:sz="18" w:space="0" w:color="000000"/>
              <w:right w:val="single" w:sz="6"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tcBorders>
              <w:bottom w:val="single" w:sz="18" w:space="0" w:color="000000"/>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18"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HN - 45</w:t>
            </w:r>
          </w:p>
        </w:tc>
      </w:tr>
      <w:tr w:rsidR="00C967FC">
        <w:trPr>
          <w:trHeight w:val="315"/>
        </w:trPr>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2861"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207"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r>
      <w:tr w:rsidR="00C967FC">
        <w:trPr>
          <w:trHeight w:val="315"/>
        </w:trPr>
        <w:tc>
          <w:tcPr>
            <w:tcW w:w="1092" w:type="dxa"/>
            <w:vMerge w:val="restart"/>
            <w:tcBorders>
              <w:left w:val="single" w:sz="18" w:space="0" w:color="000000"/>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Math</w:t>
            </w:r>
          </w:p>
        </w:tc>
        <w:tc>
          <w:tcPr>
            <w:tcW w:w="2861"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Increase Students Meeting/Exceeding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2022 - 66%</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Decrease students exceeding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2022 - 16%</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 xml:space="preserve">2023 - </w:t>
            </w:r>
            <w:r>
              <w:rPr>
                <w:sz w:val="20"/>
                <w:szCs w:val="20"/>
              </w:rPr>
              <w:lastRenderedPageBreak/>
              <w:t>71%</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 xml:space="preserve">2023 - </w:t>
            </w:r>
            <w:r>
              <w:rPr>
                <w:sz w:val="20"/>
                <w:szCs w:val="20"/>
              </w:rPr>
              <w:lastRenderedPageBreak/>
              <w:t>10%</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Decrease SWD Not Meeting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2022 - 14%</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Slight decrease SWD Meets/Exceeds</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2022 - 35%</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2023 - 3%</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2023 - 32%</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High Typical Growth for ALL Category</w:t>
            </w:r>
          </w:p>
        </w:tc>
        <w:tc>
          <w:tcPr>
            <w:tcW w:w="1092" w:type="dxa"/>
            <w:vMerge w:val="restart"/>
            <w:tcBorders>
              <w:bottom w:val="single" w:sz="6" w:space="0" w:color="000000"/>
              <w:right w:val="single" w:sz="18"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SGP - 58</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Slight decrease HN Meets/Exceeds</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2022 - 41%</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vMerge/>
            <w:tcBorders>
              <w:bottom w:val="single" w:sz="6" w:space="0" w:color="000000"/>
              <w:right w:val="single" w:sz="18"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2023 - 37%</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Both Subgroups slightly over 50 SGP</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SWD - 52</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Slight increase HN Not Meeting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2022 - 11%</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18"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HN - 53</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18"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2023 - 14%</w:t>
            </w:r>
          </w:p>
        </w:tc>
      </w:tr>
      <w:tr w:rsidR="00C967FC">
        <w:trPr>
          <w:trHeight w:val="315"/>
        </w:trPr>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2861"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207"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tcBorders>
              <w:bottom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r>
      <w:tr w:rsidR="00C967FC">
        <w:trPr>
          <w:trHeight w:val="315"/>
        </w:trPr>
        <w:tc>
          <w:tcPr>
            <w:tcW w:w="1092" w:type="dxa"/>
            <w:vMerge w:val="restart"/>
            <w:tcBorders>
              <w:left w:val="single" w:sz="18" w:space="0" w:color="000000"/>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Biology</w:t>
            </w:r>
          </w:p>
        </w:tc>
        <w:tc>
          <w:tcPr>
            <w:tcW w:w="2861"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Slight Increase HN - Meeting/Exceeding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2022 - 48%</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4106" w:type="dxa"/>
            <w:gridSpan w:val="2"/>
            <w:vMerge w:val="restart"/>
            <w:tcBorders>
              <w:bottom w:val="single" w:sz="18" w:space="0" w:color="000000"/>
              <w:right w:val="single" w:sz="18"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FLAT OVERALL PERFORMANCE OVER PAST 2 YEARS</w:t>
            </w: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2023 - 52%</w:t>
            </w:r>
          </w:p>
        </w:tc>
        <w:tc>
          <w:tcPr>
            <w:tcW w:w="207" w:type="dxa"/>
            <w:tcBorders>
              <w:right w:val="single" w:sz="18" w:space="0" w:color="000000"/>
            </w:tcBorders>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4106" w:type="dxa"/>
            <w:gridSpan w:val="2"/>
            <w:vMerge/>
            <w:tcBorders>
              <w:bottom w:val="single" w:sz="18"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Decreased SWD Not Meeting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2022 - 14%</w:t>
            </w:r>
          </w:p>
        </w:tc>
        <w:tc>
          <w:tcPr>
            <w:tcW w:w="207"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2023 - 3%</w:t>
            </w:r>
          </w:p>
        </w:tc>
        <w:tc>
          <w:tcPr>
            <w:tcW w:w="207"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val="restart"/>
            <w:tcBorders>
              <w:bottom w:val="single" w:sz="18" w:space="0" w:color="000000"/>
              <w:right w:val="single" w:sz="6" w:space="0" w:color="000000"/>
            </w:tcBorders>
            <w:shd w:val="clear" w:color="auto" w:fill="auto"/>
            <w:tcMar>
              <w:top w:w="40" w:type="dxa"/>
              <w:left w:w="40" w:type="dxa"/>
              <w:bottom w:w="40" w:type="dxa"/>
              <w:right w:w="40" w:type="dxa"/>
            </w:tcMar>
            <w:vAlign w:val="center"/>
          </w:tcPr>
          <w:p w:rsidR="00C967FC" w:rsidRDefault="00991AC9">
            <w:pPr>
              <w:widowControl w:val="0"/>
              <w:rPr>
                <w:sz w:val="20"/>
                <w:szCs w:val="20"/>
              </w:rPr>
            </w:pPr>
            <w:r>
              <w:rPr>
                <w:sz w:val="20"/>
                <w:szCs w:val="20"/>
              </w:rPr>
              <w:t>Decreased HN Not Meeting</w:t>
            </w:r>
          </w:p>
        </w:tc>
        <w:tc>
          <w:tcPr>
            <w:tcW w:w="1092" w:type="dxa"/>
            <w:tcBorders>
              <w:bottom w:val="single" w:sz="6"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2022 - 10%</w:t>
            </w:r>
          </w:p>
        </w:tc>
        <w:tc>
          <w:tcPr>
            <w:tcW w:w="207"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r>
      <w:tr w:rsidR="00C967FC">
        <w:trPr>
          <w:trHeight w:val="315"/>
        </w:trPr>
        <w:tc>
          <w:tcPr>
            <w:tcW w:w="1092" w:type="dxa"/>
            <w:vMerge/>
            <w:tcBorders>
              <w:left w:val="single" w:sz="18" w:space="0" w:color="000000"/>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2861" w:type="dxa"/>
            <w:vMerge/>
            <w:tcBorders>
              <w:bottom w:val="single" w:sz="18" w:space="0" w:color="000000"/>
              <w:right w:val="single" w:sz="6" w:space="0" w:color="000000"/>
            </w:tcBorders>
            <w:shd w:val="clear" w:color="auto" w:fill="auto"/>
            <w:tcMar>
              <w:top w:w="100" w:type="dxa"/>
              <w:left w:w="100" w:type="dxa"/>
              <w:bottom w:w="100" w:type="dxa"/>
              <w:right w:w="100" w:type="dxa"/>
            </w:tcMar>
          </w:tcPr>
          <w:p w:rsidR="00C967FC" w:rsidRDefault="00C967FC">
            <w:pPr>
              <w:widowControl w:val="0"/>
              <w:rPr>
                <w:sz w:val="20"/>
                <w:szCs w:val="20"/>
              </w:rPr>
            </w:pPr>
          </w:p>
        </w:tc>
        <w:tc>
          <w:tcPr>
            <w:tcW w:w="1092" w:type="dxa"/>
            <w:tcBorders>
              <w:bottom w:val="single" w:sz="18" w:space="0" w:color="000000"/>
              <w:right w:val="single" w:sz="18" w:space="0" w:color="000000"/>
            </w:tcBorders>
            <w:shd w:val="clear" w:color="auto" w:fill="auto"/>
            <w:tcMar>
              <w:top w:w="40" w:type="dxa"/>
              <w:left w:w="40" w:type="dxa"/>
              <w:bottom w:w="40" w:type="dxa"/>
              <w:right w:w="40" w:type="dxa"/>
            </w:tcMar>
            <w:vAlign w:val="bottom"/>
          </w:tcPr>
          <w:p w:rsidR="00C967FC" w:rsidRDefault="00991AC9">
            <w:pPr>
              <w:widowControl w:val="0"/>
              <w:rPr>
                <w:sz w:val="20"/>
                <w:szCs w:val="20"/>
              </w:rPr>
            </w:pPr>
            <w:r>
              <w:rPr>
                <w:sz w:val="20"/>
                <w:szCs w:val="20"/>
              </w:rPr>
              <w:t>2023 - 2%</w:t>
            </w:r>
          </w:p>
        </w:tc>
        <w:tc>
          <w:tcPr>
            <w:tcW w:w="207"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3014"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c>
          <w:tcPr>
            <w:tcW w:w="1092" w:type="dxa"/>
            <w:shd w:val="clear" w:color="auto" w:fill="auto"/>
            <w:tcMar>
              <w:top w:w="40" w:type="dxa"/>
              <w:left w:w="40" w:type="dxa"/>
              <w:bottom w:w="40" w:type="dxa"/>
              <w:right w:w="40" w:type="dxa"/>
            </w:tcMar>
            <w:vAlign w:val="bottom"/>
          </w:tcPr>
          <w:p w:rsidR="00C967FC" w:rsidRDefault="00C967FC">
            <w:pPr>
              <w:widowControl w:val="0"/>
              <w:rPr>
                <w:sz w:val="20"/>
                <w:szCs w:val="20"/>
              </w:rPr>
            </w:pPr>
          </w:p>
        </w:tc>
      </w:tr>
    </w:tbl>
    <w:p w:rsidR="00C967FC" w:rsidRDefault="00C967FC">
      <w:pPr>
        <w:rPr>
          <w:sz w:val="24"/>
          <w:szCs w:val="24"/>
        </w:rPr>
      </w:pPr>
    </w:p>
    <w:p w:rsidR="00C967FC" w:rsidRDefault="00C967FC">
      <w:pPr>
        <w:ind w:left="2160"/>
        <w:rPr>
          <w:sz w:val="24"/>
          <w:szCs w:val="24"/>
        </w:rPr>
      </w:pPr>
    </w:p>
    <w:p w:rsidR="00C967FC" w:rsidRDefault="00991AC9">
      <w:pPr>
        <w:rPr>
          <w:rFonts w:ascii="Calibri" w:eastAsia="Calibri" w:hAnsi="Calibri" w:cs="Calibri"/>
          <w:b/>
          <w:sz w:val="32"/>
          <w:szCs w:val="32"/>
        </w:rPr>
      </w:pPr>
      <w:r>
        <w:rPr>
          <w:rFonts w:ascii="Calibri" w:eastAsia="Calibri" w:hAnsi="Calibri" w:cs="Calibri"/>
          <w:b/>
          <w:sz w:val="32"/>
          <w:szCs w:val="32"/>
        </w:rPr>
        <w:t>QUESTIONS FROM DISCUSSION</w:t>
      </w:r>
    </w:p>
    <w:p w:rsidR="00C967FC" w:rsidRDefault="00C967FC">
      <w:pPr>
        <w:rPr>
          <w:rFonts w:ascii="Calibri" w:eastAsia="Calibri" w:hAnsi="Calibri" w:cs="Calibri"/>
          <w:sz w:val="24"/>
          <w:szCs w:val="24"/>
        </w:rPr>
      </w:pPr>
    </w:p>
    <w:p w:rsidR="00C967FC" w:rsidRDefault="00991AC9">
      <w:pPr>
        <w:numPr>
          <w:ilvl w:val="0"/>
          <w:numId w:val="1"/>
        </w:numPr>
        <w:rPr>
          <w:rFonts w:ascii="Calibri" w:eastAsia="Calibri" w:hAnsi="Calibri" w:cs="Calibri"/>
          <w:sz w:val="24"/>
          <w:szCs w:val="24"/>
        </w:rPr>
      </w:pPr>
      <w:r>
        <w:rPr>
          <w:rFonts w:ascii="Calibri" w:eastAsia="Calibri" w:hAnsi="Calibri" w:cs="Calibri"/>
          <w:sz w:val="24"/>
          <w:szCs w:val="24"/>
        </w:rPr>
        <w:t xml:space="preserve">What is SGP?  </w:t>
      </w:r>
    </w:p>
    <w:p w:rsidR="00C967FC" w:rsidRDefault="00C967FC">
      <w:pPr>
        <w:ind w:left="720"/>
        <w:rPr>
          <w:rFonts w:ascii="Calibri" w:eastAsia="Calibri" w:hAnsi="Calibri" w:cs="Calibri"/>
          <w:sz w:val="24"/>
          <w:szCs w:val="24"/>
        </w:rPr>
      </w:pPr>
    </w:p>
    <w:p w:rsidR="00C967FC" w:rsidRDefault="00991AC9">
      <w:pPr>
        <w:numPr>
          <w:ilvl w:val="1"/>
          <w:numId w:val="1"/>
        </w:numPr>
        <w:rPr>
          <w:rFonts w:ascii="Calibri" w:eastAsia="Calibri" w:hAnsi="Calibri" w:cs="Calibri"/>
          <w:sz w:val="24"/>
          <w:szCs w:val="24"/>
        </w:rPr>
      </w:pPr>
      <w:r>
        <w:rPr>
          <w:rFonts w:ascii="Calibri" w:eastAsia="Calibri" w:hAnsi="Calibri" w:cs="Calibri"/>
          <w:sz w:val="24"/>
          <w:szCs w:val="24"/>
        </w:rPr>
        <w:t>A growth score shows how much a student’s score changed compared to other students who had a similar score the year before.</w:t>
      </w:r>
    </w:p>
    <w:p w:rsidR="00C967FC" w:rsidRDefault="00C967FC">
      <w:pPr>
        <w:rPr>
          <w:rFonts w:ascii="Calibri" w:eastAsia="Calibri" w:hAnsi="Calibri" w:cs="Calibri"/>
          <w:sz w:val="24"/>
          <w:szCs w:val="24"/>
        </w:rPr>
      </w:pPr>
    </w:p>
    <w:p w:rsidR="00C967FC" w:rsidRDefault="00991AC9">
      <w:pPr>
        <w:numPr>
          <w:ilvl w:val="0"/>
          <w:numId w:val="1"/>
        </w:numPr>
        <w:rPr>
          <w:rFonts w:ascii="Calibri" w:eastAsia="Calibri" w:hAnsi="Calibri" w:cs="Calibri"/>
          <w:sz w:val="24"/>
          <w:szCs w:val="24"/>
        </w:rPr>
      </w:pPr>
      <w:r>
        <w:rPr>
          <w:rFonts w:ascii="Calibri" w:eastAsia="Calibri" w:hAnsi="Calibri" w:cs="Calibri"/>
          <w:sz w:val="24"/>
          <w:szCs w:val="24"/>
        </w:rPr>
        <w:t>Advanced Coursework - Drop in Numbers?</w:t>
      </w:r>
    </w:p>
    <w:p w:rsidR="00C967FC" w:rsidRDefault="00C967FC">
      <w:pPr>
        <w:ind w:left="720"/>
        <w:rPr>
          <w:rFonts w:ascii="Calibri" w:eastAsia="Calibri" w:hAnsi="Calibri" w:cs="Calibri"/>
          <w:sz w:val="24"/>
          <w:szCs w:val="24"/>
        </w:rPr>
      </w:pPr>
    </w:p>
    <w:p w:rsidR="00C967FC" w:rsidRDefault="00991AC9">
      <w:pPr>
        <w:numPr>
          <w:ilvl w:val="1"/>
          <w:numId w:val="1"/>
        </w:numPr>
        <w:rPr>
          <w:rFonts w:ascii="Calibri" w:eastAsia="Calibri" w:hAnsi="Calibri" w:cs="Calibri"/>
          <w:sz w:val="24"/>
          <w:szCs w:val="24"/>
        </w:rPr>
      </w:pPr>
      <w:r>
        <w:rPr>
          <w:rFonts w:ascii="Calibri" w:eastAsia="Calibri" w:hAnsi="Calibri" w:cs="Calibri"/>
          <w:sz w:val="24"/>
          <w:szCs w:val="24"/>
        </w:rPr>
        <w:t xml:space="preserve">Andy </w:t>
      </w:r>
      <w:proofErr w:type="spellStart"/>
      <w:r>
        <w:rPr>
          <w:rFonts w:ascii="Calibri" w:eastAsia="Calibri" w:hAnsi="Calibri" w:cs="Calibri"/>
          <w:sz w:val="24"/>
          <w:szCs w:val="24"/>
        </w:rPr>
        <w:t>Wulf</w:t>
      </w:r>
      <w:proofErr w:type="spellEnd"/>
      <w:r>
        <w:rPr>
          <w:rFonts w:ascii="Calibri" w:eastAsia="Calibri" w:hAnsi="Calibri" w:cs="Calibri"/>
          <w:sz w:val="24"/>
          <w:szCs w:val="24"/>
        </w:rPr>
        <w:t xml:space="preserve"> acknowledged that the school did not meet its target for students taking advanced coursework courses.  </w:t>
      </w:r>
    </w:p>
    <w:p w:rsidR="00C967FC" w:rsidRDefault="00991AC9">
      <w:pPr>
        <w:numPr>
          <w:ilvl w:val="1"/>
          <w:numId w:val="1"/>
        </w:numPr>
        <w:rPr>
          <w:rFonts w:ascii="Calibri" w:eastAsia="Calibri" w:hAnsi="Calibri" w:cs="Calibri"/>
          <w:sz w:val="24"/>
          <w:szCs w:val="24"/>
        </w:rPr>
      </w:pPr>
      <w:r>
        <w:rPr>
          <w:rFonts w:ascii="Calibri" w:eastAsia="Calibri" w:hAnsi="Calibri" w:cs="Calibri"/>
          <w:sz w:val="24"/>
          <w:szCs w:val="24"/>
        </w:rPr>
        <w:t>Students at the start of the meeting mentioned how certain higher level classes such as AP Psychology only had 1 section run despite the inter</w:t>
      </w:r>
      <w:r>
        <w:rPr>
          <w:rFonts w:ascii="Calibri" w:eastAsia="Calibri" w:hAnsi="Calibri" w:cs="Calibri"/>
          <w:sz w:val="24"/>
          <w:szCs w:val="24"/>
        </w:rPr>
        <w:t xml:space="preserve">est.  As a result many students </w:t>
      </w:r>
      <w:proofErr w:type="gramStart"/>
      <w:r>
        <w:rPr>
          <w:rFonts w:ascii="Calibri" w:eastAsia="Calibri" w:hAnsi="Calibri" w:cs="Calibri"/>
          <w:sz w:val="24"/>
          <w:szCs w:val="24"/>
        </w:rPr>
        <w:t>were  not</w:t>
      </w:r>
      <w:proofErr w:type="gramEnd"/>
      <w:r>
        <w:rPr>
          <w:rFonts w:ascii="Calibri" w:eastAsia="Calibri" w:hAnsi="Calibri" w:cs="Calibri"/>
          <w:sz w:val="24"/>
          <w:szCs w:val="24"/>
        </w:rPr>
        <w:t xml:space="preserve"> able to get in.  </w:t>
      </w:r>
    </w:p>
    <w:p w:rsidR="00C967FC" w:rsidRDefault="00C967FC">
      <w:pPr>
        <w:ind w:left="1440"/>
        <w:rPr>
          <w:rFonts w:ascii="Calibri" w:eastAsia="Calibri" w:hAnsi="Calibri" w:cs="Calibri"/>
          <w:sz w:val="24"/>
          <w:szCs w:val="24"/>
        </w:rPr>
      </w:pPr>
    </w:p>
    <w:p w:rsidR="00C967FC" w:rsidRDefault="00991AC9">
      <w:pPr>
        <w:numPr>
          <w:ilvl w:val="0"/>
          <w:numId w:val="1"/>
        </w:numPr>
        <w:rPr>
          <w:rFonts w:ascii="Calibri" w:eastAsia="Calibri" w:hAnsi="Calibri" w:cs="Calibri"/>
          <w:sz w:val="24"/>
          <w:szCs w:val="24"/>
        </w:rPr>
      </w:pPr>
      <w:r>
        <w:rPr>
          <w:rFonts w:ascii="Calibri" w:eastAsia="Calibri" w:hAnsi="Calibri" w:cs="Calibri"/>
          <w:sz w:val="24"/>
          <w:szCs w:val="24"/>
        </w:rPr>
        <w:t xml:space="preserve">Is it possible to further separate the results by </w:t>
      </w:r>
      <w:proofErr w:type="gramStart"/>
      <w:r>
        <w:rPr>
          <w:rFonts w:ascii="Calibri" w:eastAsia="Calibri" w:hAnsi="Calibri" w:cs="Calibri"/>
          <w:sz w:val="24"/>
          <w:szCs w:val="24"/>
        </w:rPr>
        <w:t>group.</w:t>
      </w:r>
      <w:proofErr w:type="gramEnd"/>
    </w:p>
    <w:p w:rsidR="00C967FC" w:rsidRDefault="00C967FC">
      <w:pPr>
        <w:ind w:left="720"/>
        <w:rPr>
          <w:rFonts w:ascii="Calibri" w:eastAsia="Calibri" w:hAnsi="Calibri" w:cs="Calibri"/>
          <w:sz w:val="24"/>
          <w:szCs w:val="24"/>
        </w:rPr>
      </w:pPr>
    </w:p>
    <w:p w:rsidR="00C967FC" w:rsidRDefault="00991AC9">
      <w:pPr>
        <w:numPr>
          <w:ilvl w:val="1"/>
          <w:numId w:val="1"/>
        </w:numPr>
        <w:rPr>
          <w:rFonts w:ascii="Calibri" w:eastAsia="Calibri" w:hAnsi="Calibri" w:cs="Calibri"/>
          <w:sz w:val="24"/>
          <w:szCs w:val="24"/>
        </w:rPr>
      </w:pPr>
      <w:r>
        <w:rPr>
          <w:rFonts w:ascii="Calibri" w:eastAsia="Calibri" w:hAnsi="Calibri" w:cs="Calibri"/>
          <w:sz w:val="24"/>
          <w:szCs w:val="24"/>
        </w:rPr>
        <w:t xml:space="preserve">Andy </w:t>
      </w:r>
      <w:proofErr w:type="spellStart"/>
      <w:r>
        <w:rPr>
          <w:rFonts w:ascii="Calibri" w:eastAsia="Calibri" w:hAnsi="Calibri" w:cs="Calibri"/>
          <w:sz w:val="24"/>
          <w:szCs w:val="24"/>
        </w:rPr>
        <w:t>Wulf</w:t>
      </w:r>
      <w:proofErr w:type="spellEnd"/>
      <w:r>
        <w:rPr>
          <w:rFonts w:ascii="Calibri" w:eastAsia="Calibri" w:hAnsi="Calibri" w:cs="Calibri"/>
          <w:sz w:val="24"/>
          <w:szCs w:val="24"/>
        </w:rPr>
        <w:t xml:space="preserve"> will provide that information for the next meeting.</w:t>
      </w:r>
    </w:p>
    <w:p w:rsidR="00C967FC" w:rsidRDefault="00C967FC">
      <w:pPr>
        <w:ind w:left="1440"/>
        <w:rPr>
          <w:rFonts w:ascii="Calibri" w:eastAsia="Calibri" w:hAnsi="Calibri" w:cs="Calibri"/>
          <w:sz w:val="24"/>
          <w:szCs w:val="24"/>
        </w:rPr>
      </w:pPr>
    </w:p>
    <w:p w:rsidR="00C967FC" w:rsidRDefault="00C967FC">
      <w:pPr>
        <w:ind w:left="2160"/>
        <w:rPr>
          <w:sz w:val="24"/>
          <w:szCs w:val="24"/>
        </w:rPr>
      </w:pPr>
    </w:p>
    <w:p w:rsidR="00C967FC" w:rsidRDefault="00C967FC">
      <w:pPr>
        <w:rPr>
          <w:sz w:val="24"/>
          <w:szCs w:val="24"/>
        </w:rPr>
      </w:pPr>
    </w:p>
    <w:sectPr w:rsidR="00C967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90EB2"/>
    <w:multiLevelType w:val="multilevel"/>
    <w:tmpl w:val="D64E1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C732E0"/>
    <w:multiLevelType w:val="multilevel"/>
    <w:tmpl w:val="FBCE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5F2EB0"/>
    <w:multiLevelType w:val="multilevel"/>
    <w:tmpl w:val="8AB0F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735BAC"/>
    <w:multiLevelType w:val="multilevel"/>
    <w:tmpl w:val="4314A2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09E23EA"/>
    <w:multiLevelType w:val="multilevel"/>
    <w:tmpl w:val="F9A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FC"/>
    <w:rsid w:val="00991AC9"/>
    <w:rsid w:val="00C9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DA37A-239A-4115-A1A5-FAC852DF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pAuMGg_TCM_wgPeE4lUhNN_JStQx1jSkURVp7kyesT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Crupi</dc:creator>
  <cp:lastModifiedBy>acrupi</cp:lastModifiedBy>
  <cp:revision>2</cp:revision>
  <dcterms:created xsi:type="dcterms:W3CDTF">2023-12-18T13:56:00Z</dcterms:created>
  <dcterms:modified xsi:type="dcterms:W3CDTF">2023-12-18T13:56:00Z</dcterms:modified>
</cp:coreProperties>
</file>